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>
      <w:pPr>
        <w:rPr>
          <w:lang w:val="en-IE"/>
        </w:rPr>
      </w:pPr>
    </w:p>
    <w:p>
      <w:pPr>
        <w:pStyle w:val="BodyText"/>
        <w:rPr>
          <w:lang w:val="en-IE"/>
        </w:rPr>
      </w:pPr>
      <w:r>
        <w:rPr>
          <w:lang w:val="en-IE"/>
        </w:rPr>
        <w:t>I refer to recent correspondence herein.  We have now received a Notice of Tender Offer from the Defendant’s solicitors.  I enclose a copy of same herewith for your attention.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In relation to the Tender Offer, the Defendants are stating that they do not believe that you will be compensated for a sum in excess of €[UDF:TenderAmt].  This is a very important situation re the costs of the case for the following reasons:-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If the case goes to hearing and you receive an award in excess of €[UDF:TenderAmt], you will receive all your costs as part of the award;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If you receive either €[UDF:TenderAmt] or less, then you will have to pay the Defendant’s costs as and from the date of the Tender Offer.  The costs would come out of your settlement.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am forwarding the papers to our barrister seeking his advice on whether or not he thinks you should accept this Tender Offer.  I will contact you again on hearing from him.  In the meantime, if you have any queries on the matter, please do not hesitate to contact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rPr>
          <w:lang w:val="en-IE"/>
        </w:rPr>
      </w:pPr>
    </w:p>
    <w:p>
      <w:pPr>
        <w:pStyle w:val="EndnoteText"/>
        <w:widowControl/>
        <w:overflowPunct/>
        <w:autoSpaceDE/>
        <w:autoSpaceDN/>
        <w:adjustRightInd/>
        <w:textAlignment w:val="auto"/>
        <w:rPr>
          <w:rFonts w:ascii="Times New Roman" w:hAnsi="Times New Roman"/>
          <w:szCs w:val="24"/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sincerely,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rPr>
          <w:lang w:val="en-IE"/>
        </w:rPr>
      </w:pPr>
    </w:p>
    <w:p>
      <w:r>
        <w:rPr>
          <w:b/>
          <w:bCs/>
          <w:lang w:val="en-IE"/>
        </w:rPr>
        <w:lastRenderedPageBreak/>
        <w:t>Encl.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B68AF"/>
    <w:multiLevelType w:val="hybridMultilevel"/>
    <w:tmpl w:val="DC3C6280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ABD65A-20DD-4BF3-8199-79DC226EA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2013-06-12T11:51:00Z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90379</vt:lpwstr>
  </property>
  <property fmtid="{D5CDD505-2E9C-101B-9397-08002B2CF9AE}" pid="3" name="KeyhouseMatterReference">
    <vt:lpwstr>IRV004/0001</vt:lpwstr>
  </property>
</Properties>
</file>